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sz w:val="28"/>
          <w:szCs w:val="28"/>
          <w:lang w:val="en-US" w:eastAsia="zh-CN"/>
        </w:rPr>
      </w:pPr>
      <w:r>
        <w:rPr>
          <w:rFonts w:hint="eastAsia"/>
          <w:sz w:val="28"/>
          <w:szCs w:val="28"/>
          <w:lang w:val="en-US" w:eastAsia="zh-CN"/>
        </w:rPr>
        <w:t>论二轮中如何开展概率统计的复习</w:t>
      </w:r>
    </w:p>
    <w:p>
      <w:pPr>
        <w:keepNext w:val="0"/>
        <w:keepLines w:val="0"/>
        <w:widowControl/>
        <w:suppressLineNumbers w:val="0"/>
        <w:jc w:val="center"/>
        <w:rPr>
          <w:rFonts w:hint="eastAsia"/>
          <w:sz w:val="21"/>
          <w:szCs w:val="21"/>
          <w:lang w:val="en-US" w:eastAsia="zh-CN"/>
        </w:rPr>
      </w:pPr>
      <w:r>
        <w:rPr>
          <w:rFonts w:hint="eastAsia"/>
          <w:sz w:val="21"/>
          <w:szCs w:val="21"/>
          <w:lang w:val="en-US" w:eastAsia="zh-CN"/>
        </w:rPr>
        <w:t>肖思琪</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高考复习的不同阶段有其相应的特点和要求，因而在不同复习阶段就其选题原则、复习目标以及采取的复习策略等应有所不同和区别，这样才能达到事半功倍的效果.第二轮复习主要是进行专题复习，此阶段要注意整体把握，注重建构知识网络，强化数学思想方法，提升数学能力，体现方向性、层次性，把握重点、难点和热点。</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概率统计知识应用广泛，它不仅是高中数学占有课时最多的一个知识板块，更是高考考查学生应用意识和应用能力经久不衰的一大热点. 最近几年全国卷将概率与统计视为一个有机联系的整体，以当前社会热点应用问题为切入点，与其它知识紧密联系组织试题素材， 重点考查考生的数学运算、数据分析、逻辑推理、</w:t>
      </w:r>
      <w:bookmarkStart w:id="0" w:name="_GoBack"/>
      <w:bookmarkEnd w:id="0"/>
      <w:r>
        <w:rPr>
          <w:rFonts w:hint="eastAsia" w:asciiTheme="minorEastAsia" w:hAnsiTheme="minorEastAsia" w:eastAsiaTheme="minorEastAsia" w:cstheme="minorEastAsia"/>
          <w:sz w:val="21"/>
          <w:szCs w:val="21"/>
          <w:lang w:val="en-US" w:eastAsia="zh-CN"/>
        </w:rPr>
        <w:t>数学建模等数学核心素养. 概率统计在全国卷高考考查中一般有如下情形：一道选择题和一道解答题，共2道题，分值为17分.近5年来全国卷（理科）考题如下表：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年份、题号</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2019</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2018</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2017</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2016</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全国</w:t>
            </w: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 1 \* ROMAN \* MERGEFORMAT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sz w:val="21"/>
                <w:szCs w:val="21"/>
                <w:vertAlign w:val="baseline"/>
                <w:lang w:val="en-US" w:eastAsia="zh-CN"/>
              </w:rPr>
              <w:fldChar w:fldCharType="end"/>
            </w:r>
            <w:r>
              <w:rPr>
                <w:rFonts w:hint="eastAsia" w:asciiTheme="minorEastAsia" w:hAnsiTheme="minorEastAsia" w:eastAsiaTheme="minorEastAsia" w:cstheme="minorEastAsia"/>
                <w:sz w:val="21"/>
                <w:szCs w:val="21"/>
                <w:vertAlign w:val="baseline"/>
                <w:lang w:val="en-US" w:eastAsia="zh-CN"/>
              </w:rPr>
              <w:t>卷</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6，21</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3，10，20</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2，19</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4，19</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全国</w:t>
            </w: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 2 \* ROMAN \* MERGEFORMAT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sz w:val="21"/>
                <w:szCs w:val="21"/>
                <w:vertAlign w:val="baseline"/>
                <w:lang w:val="en-US" w:eastAsia="zh-CN"/>
              </w:rPr>
              <w:fldChar w:fldCharType="end"/>
            </w:r>
            <w:r>
              <w:rPr>
                <w:rFonts w:hint="eastAsia" w:asciiTheme="minorEastAsia" w:hAnsiTheme="minorEastAsia" w:eastAsiaTheme="minorEastAsia" w:cstheme="minorEastAsia"/>
                <w:sz w:val="21"/>
                <w:szCs w:val="21"/>
                <w:vertAlign w:val="baseline"/>
                <w:lang w:val="en-US" w:eastAsia="zh-CN"/>
              </w:rPr>
              <w:t>卷</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5，13，18</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8，18</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6，13，18</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5，10，18</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全国</w:t>
            </w:r>
            <w:r>
              <w:rPr>
                <w:rFonts w:hint="eastAsia" w:asciiTheme="minorEastAsia" w:hAnsiTheme="minorEastAsia" w:eastAsiaTheme="minorEastAsia" w:cstheme="minorEastAsia"/>
                <w:sz w:val="21"/>
                <w:szCs w:val="21"/>
                <w:vertAlign w:val="baseline"/>
                <w:lang w:val="en-US" w:eastAsia="zh-CN"/>
              </w:rPr>
              <w:fldChar w:fldCharType="begin"/>
            </w:r>
            <w:r>
              <w:rPr>
                <w:rFonts w:hint="eastAsia" w:asciiTheme="minorEastAsia" w:hAnsiTheme="minorEastAsia" w:eastAsiaTheme="minorEastAsia" w:cstheme="minorEastAsia"/>
                <w:sz w:val="21"/>
                <w:szCs w:val="21"/>
                <w:vertAlign w:val="baseline"/>
                <w:lang w:val="en-US" w:eastAsia="zh-CN"/>
              </w:rPr>
              <w:instrText xml:space="preserve"> = 3 \* ROMAN \* MERGEFORMAT </w:instrText>
            </w:r>
            <w:r>
              <w:rPr>
                <w:rFonts w:hint="eastAsia" w:asciiTheme="minorEastAsia" w:hAnsiTheme="minorEastAsia" w:eastAsiaTheme="minorEastAsia" w:cstheme="minorEastAsia"/>
                <w:sz w:val="21"/>
                <w:szCs w:val="21"/>
                <w:vertAlign w:val="baseline"/>
                <w:lang w:val="en-US" w:eastAsia="zh-CN"/>
              </w:rPr>
              <w:fldChar w:fldCharType="separate"/>
            </w:r>
            <w:r>
              <w:rPr>
                <w:rFonts w:hint="eastAsia" w:asciiTheme="minorEastAsia" w:hAnsiTheme="minorEastAsia" w:eastAsiaTheme="minorEastAsia" w:cstheme="minorEastAsia"/>
                <w:sz w:val="21"/>
                <w:szCs w:val="21"/>
              </w:rPr>
              <w:t>III</w:t>
            </w:r>
            <w:r>
              <w:rPr>
                <w:rFonts w:hint="eastAsia" w:asciiTheme="minorEastAsia" w:hAnsiTheme="minorEastAsia" w:eastAsiaTheme="minorEastAsia" w:cstheme="minorEastAsia"/>
                <w:sz w:val="21"/>
                <w:szCs w:val="21"/>
                <w:vertAlign w:val="baseline"/>
                <w:lang w:val="en-US" w:eastAsia="zh-CN"/>
              </w:rPr>
              <w:fldChar w:fldCharType="end"/>
            </w:r>
            <w:r>
              <w:rPr>
                <w:rFonts w:hint="eastAsia" w:asciiTheme="minorEastAsia" w:hAnsiTheme="minorEastAsia" w:eastAsiaTheme="minorEastAsia" w:cstheme="minorEastAsia"/>
                <w:sz w:val="21"/>
                <w:szCs w:val="21"/>
                <w:vertAlign w:val="baseline"/>
                <w:lang w:val="en-US" w:eastAsia="zh-CN"/>
              </w:rPr>
              <w:t>卷</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3，17</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8，18</w:t>
            </w:r>
          </w:p>
        </w:tc>
        <w:tc>
          <w:tcPr>
            <w:tcW w:w="1420"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3，18</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4，18</w:t>
            </w:r>
          </w:p>
        </w:tc>
        <w:tc>
          <w:tcPr>
            <w:tcW w:w="1421" w:type="dxa"/>
          </w:tcPr>
          <w:p>
            <w:pPr>
              <w:keepNext w:val="0"/>
              <w:keepLines w:val="0"/>
              <w:widowControl/>
              <w:suppressLineNumbers w:val="0"/>
              <w:spacing w:line="360" w:lineRule="auto"/>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8，18</w:t>
            </w:r>
          </w:p>
        </w:tc>
      </w:tr>
    </w:tbl>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由数据可得，概率统计大题在全国</w:t>
      </w: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 1 \* ROMAN \* MERGEFORMAT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sz w:val="21"/>
          <w:szCs w:val="21"/>
          <w:lang w:val="en-US" w:eastAsia="zh-CN"/>
        </w:rPr>
        <w:fldChar w:fldCharType="end"/>
      </w:r>
      <w:r>
        <w:rPr>
          <w:rFonts w:hint="eastAsia" w:asciiTheme="minorEastAsia" w:hAnsiTheme="minorEastAsia" w:eastAsiaTheme="minorEastAsia" w:cstheme="minorEastAsia"/>
          <w:sz w:val="21"/>
          <w:szCs w:val="21"/>
          <w:lang w:val="en-US" w:eastAsia="zh-CN"/>
        </w:rPr>
        <w:t>卷的位置越来越靠后，在2019年作为压轴题出现，可见其在高考中的重要地位，那么结合二轮复习的特点，如何有效、系统的复习概率统计这章变得尤为重要，我认为可以从以下几方面开展复习：</w:t>
      </w:r>
    </w:p>
    <w:p>
      <w:pPr>
        <w:keepNext w:val="0"/>
        <w:keepLines w:val="0"/>
        <w:widowControl/>
        <w:numPr>
          <w:ilvl w:val="0"/>
          <w:numId w:val="1"/>
        </w:numPr>
        <w:suppressLineNumbers w:val="0"/>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回归教材，建构知识网络</w:t>
      </w:r>
    </w:p>
    <w:p>
      <w:pPr>
        <w:keepNext w:val="0"/>
        <w:keepLines w:val="0"/>
        <w:widowControl/>
        <w:numPr>
          <w:numId w:val="0"/>
        </w:numPr>
        <w:suppressLineNumbers w:val="0"/>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（1）建构知识网络 </w:t>
      </w:r>
    </w:p>
    <w:p>
      <w:pPr>
        <w:keepNext w:val="0"/>
        <w:keepLines w:val="0"/>
        <w:widowControl/>
        <w:numPr>
          <w:numId w:val="0"/>
        </w:numPr>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在概率统计的复习中要以教材为基础，辨析基本概念，理清知识脉络．而不是死记公式，可以用三条主线将有关概念串联起来．</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主线Ⅰ 统计问题的研究过程：收集数据（三种抽样方法）→整理数据（各种统计图、 表） 分析数据（各种数字特征）→统计推断（常用统计方法）；</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主线Ⅱ 随机事件的研究过程：各种事件 →事件概率 →基本概型；</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主线Ⅲ 随机变量的研究过程：随机变量 →概率分布的期望、方差 →分布模型．</w:t>
      </w:r>
    </w:p>
    <w:p>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除此之外，在每条主线中的典型实验模型要吃透，明白实验的背景，实验的发生过程，实验的评估方法以及对实验的对比迁移.</w:t>
      </w:r>
    </w:p>
    <w:p>
      <w:pPr>
        <w:keepNext w:val="0"/>
        <w:keepLines w:val="0"/>
        <w:widowControl/>
        <w:numPr>
          <w:numId w:val="0"/>
        </w:numPr>
        <w:suppressLineNumbers w:val="0"/>
        <w:spacing w:line="36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（2）处理分析教材数据</w:t>
      </w:r>
    </w:p>
    <w:p>
      <w:pPr>
        <w:keepNext w:val="0"/>
        <w:keepLines w:val="0"/>
        <w:widowControl/>
        <w:numPr>
          <w:numId w:val="0"/>
        </w:numPr>
        <w:suppressLineNumbers w:val="0"/>
        <w:spacing w:line="360" w:lineRule="auto"/>
        <w:ind w:firstLine="42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纵观新课程卷中的概率统计试题, 大多数试题源于教材, 特别是客观题都是从课本上的练习题或习题改编的, 既使是综合题, 也是由教材例、结合起来，习题的组合、加工和拓展而成, 充分表现出教材的基础作用. 所以二轮复习阶段应该分析历年来的高考概率真题是如何由课本上相关例题或者课本素材改编得到的，向学生展示,两者是如何融合在一起的，并且举一反三地加以类比、延伸和拓展, 在“变式”上下功夫, “以不变应万变”，达到事半功倍的效果.</w:t>
      </w:r>
    </w:p>
    <w:p>
      <w:pPr>
        <w:keepNext w:val="0"/>
        <w:keepLines w:val="0"/>
        <w:widowControl/>
        <w:numPr>
          <w:ilvl w:val="0"/>
          <w:numId w:val="1"/>
        </w:numPr>
        <w:suppressLineNumbers w:val="0"/>
        <w:spacing w:line="36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重视数学思想方法的渗透</w:t>
      </w:r>
    </w:p>
    <w:p>
      <w:pPr>
        <w:keepNext w:val="0"/>
        <w:keepLines w:val="0"/>
        <w:widowControl/>
        <w:numPr>
          <w:numId w:val="0"/>
        </w:numPr>
        <w:suppressLineNumbers w:val="0"/>
        <w:spacing w:line="360" w:lineRule="auto"/>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数学思想方法作为数学的精髓, 历来是高考数学考查的重中之重, 它蕴涵在数学知识发生、发展和应用的全过程. 在概率统计的内容中蕴涵着丰富的数学思想方法, 如分类讨论、逆向思维等. 在二轮复习中，教师应该既要注意选择一些章节内只是内的综合问题，更要注意选择那些在知识网络交汇点设计的、注重思维发展、考察能力的试题，符合学生的能力水平，让学生学会有技巧的化难为简。</w:t>
      </w:r>
    </w:p>
    <w:p>
      <w:pPr>
        <w:keepNext w:val="0"/>
        <w:keepLines w:val="0"/>
        <w:widowControl/>
        <w:numPr>
          <w:ilvl w:val="0"/>
          <w:numId w:val="1"/>
        </w:numPr>
        <w:suppressLineNumbers w:val="0"/>
        <w:spacing w:line="36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重视学生的阅读能力</w:t>
      </w:r>
    </w:p>
    <w:p>
      <w:pPr>
        <w:keepNext w:val="0"/>
        <w:keepLines w:val="0"/>
        <w:widowControl/>
        <w:numPr>
          <w:numId w:val="0"/>
        </w:numPr>
        <w:suppressLineNumbers w:val="0"/>
        <w:spacing w:line="360" w:lineRule="auto"/>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近几年的概率统计都加强了数学的阅读和书面表达能力，大段的文字描述成功考倒了一大片考生，反映了高考对考生阅读题意的能力以及信息处理、数据分析的能力要求很高.从实际教学来看, 中学数学教学对数学语言的表达、数学符号书写的规范性强调较多, 但对数学的阅读强调不足。二轮复习时，可以增加审题训练，让学生进行限时训练，在有限的的时间内对信息对数据表格等进行处理分析，得到解题思路。</w:t>
      </w:r>
    </w:p>
    <w:p>
      <w:pPr>
        <w:keepNext w:val="0"/>
        <w:keepLines w:val="0"/>
        <w:widowControl/>
        <w:numPr>
          <w:ilvl w:val="0"/>
          <w:numId w:val="1"/>
        </w:numPr>
        <w:suppressLineNumbers w:val="0"/>
        <w:spacing w:line="360" w:lineRule="auto"/>
        <w:ind w:left="0" w:leftChars="0" w:firstLine="0" w:firstLine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重视概率统计的应用功能</w:t>
      </w:r>
    </w:p>
    <w:p>
      <w:pPr>
        <w:keepNext w:val="0"/>
        <w:keepLines w:val="0"/>
        <w:widowControl/>
        <w:numPr>
          <w:numId w:val="0"/>
        </w:numPr>
        <w:suppressLineNumbers w:val="0"/>
        <w:spacing w:line="360" w:lineRule="auto"/>
        <w:ind w:leftChars="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由于新课程强调数学教育的基础性、现实性、大众性, 重视素质教育与高考的兼容性, 概率统计在社会现实中具有很高的应用价值. 在复习中, 应要求学生平时多关心国家大事, 了解信息社会, 讲究联系实际, 重视数学在生产、生活及科学中的应用.</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之，我们在《概率与统计》的复习中，要以培养学生的核心素养为抓手，引导学生用数学的思维去分析理解实际问题，提高学生的建模能力、数据分析和运算能力，才能发展学生的数学核心素养，提高复习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DY16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HTJ0">
    <w:altName w:val="Segoe Print"/>
    <w:panose1 w:val="00000000000000000000"/>
    <w:charset w:val="00"/>
    <w:family w:val="auto"/>
    <w:pitch w:val="default"/>
    <w:sig w:usb0="00000000" w:usb1="00000000" w:usb2="00000000" w:usb3="00000000" w:csb0="00000000" w:csb1="00000000"/>
  </w:font>
  <w:font w:name="DLF-1-4-733550735">
    <w:altName w:val="Segoe Print"/>
    <w:panose1 w:val="00000000000000000000"/>
    <w:charset w:val="00"/>
    <w:family w:val="auto"/>
    <w:pitch w:val="default"/>
    <w:sig w:usb0="00000000" w:usb1="00000000" w:usb2="00000000" w:usb3="00000000" w:csb0="00000000" w:csb1="00000000"/>
  </w:font>
  <w:font w:name="DLF-32769-4-1338467493">
    <w:altName w:val="Segoe Print"/>
    <w:panose1 w:val="00000000000000000000"/>
    <w:charset w:val="00"/>
    <w:family w:val="auto"/>
    <w:pitch w:val="default"/>
    <w:sig w:usb0="00000000" w:usb1="00000000" w:usb2="00000000" w:usb3="00000000" w:csb0="00000000" w:csb1="00000000"/>
  </w:font>
  <w:font w:name="DLF-3-0-460154908">
    <w:altName w:val="Segoe Print"/>
    <w:panose1 w:val="00000000000000000000"/>
    <w:charset w:val="00"/>
    <w:family w:val="auto"/>
    <w:pitch w:val="default"/>
    <w:sig w:usb0="00000000" w:usb1="00000000" w:usb2="00000000" w:usb3="00000000" w:csb0="00000000" w:csb1="00000000"/>
  </w:font>
  <w:font w:name="DLF-32770-0-1975527802">
    <w:altName w:val="Segoe Print"/>
    <w:panose1 w:val="00000000000000000000"/>
    <w:charset w:val="00"/>
    <w:family w:val="auto"/>
    <w:pitch w:val="default"/>
    <w:sig w:usb0="00000000" w:usb1="00000000" w:usb2="00000000" w:usb3="00000000" w:csb0="00000000" w:csb1="00000000"/>
  </w:font>
  <w:font w:name="DY1">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664C88"/>
    <w:multiLevelType w:val="singleLevel"/>
    <w:tmpl w:val="92664C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E36639"/>
    <w:rsid w:val="1E9A0DC1"/>
    <w:rsid w:val="26B15BA1"/>
    <w:rsid w:val="28513880"/>
    <w:rsid w:val="480D2E61"/>
    <w:rsid w:val="4A5736CF"/>
    <w:rsid w:val="59514CB7"/>
    <w:rsid w:val="59D11FDD"/>
    <w:rsid w:val="6AD1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2020-05-17T21:57:30Z</dcterms:created>
  <dc:creator>65460</dc:creator>
  <cp:lastModifiedBy>清风抚星</cp:lastModifiedBy>
  <dcterms:modified xsi:type="dcterms:W3CDTF">2020-05-18T07:50:23Z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